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E9" w:rsidRDefault="00302BCD">
      <w:pPr>
        <w:pStyle w:val="1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Северо-Западное управление Федеральной службы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D321E9" w:rsidRDefault="00D321E9">
      <w:pPr>
        <w:rPr>
          <w:lang w:eastAsia="ru-RU"/>
        </w:rPr>
      </w:pPr>
    </w:p>
    <w:p w:rsidR="00D321E9" w:rsidRDefault="00302BC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Главный государственный инспектор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надзора за безопасностью ведения горных работ, место работы – г. Санкт-Петербург;</w:t>
      </w:r>
    </w:p>
    <w:p w:rsidR="00D321E9" w:rsidRDefault="00302BC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 отдел надзора за безопасностью ведения горных работ, место работы – г. Санкт-Петербург;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6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</w:t>
      </w:r>
      <w:r>
        <w:t>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-Государ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-Государственный инспектор (надзор за безопасной эксплуатаци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  грузоподъемными сооружениями) отдела промышленной безопасности по Новгородской области, место работы - г. Великий Новгород;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-Государственный инспектор (надзор за электрическими и тепловыми энергоустановками, оборудованием, работающим под избыточным  да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влением) отдел по государственному энергетическому надзору по Мурманской области, место работы – г. Мурманск.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 претенденту на замещение вакантных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главного государственного инспектора  отдела надзора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безо</w:t>
      </w:r>
      <w:r>
        <w:rPr>
          <w:rFonts w:ascii="Times New Roman" w:hAnsi="Times New Roman" w:cs="Times New Roman"/>
          <w:sz w:val="28"/>
          <w:szCs w:val="28"/>
          <w:lang w:eastAsia="ru-RU"/>
        </w:rPr>
        <w:t>пасностью ведения горных работ, место   работы - г. Санкт-Петербург, предъявляются следующие требования: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Наличие высшего образования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направлениям подготовки):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ния»,  «Горное дело»,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«Разведка и разработка полезных ископаемых», «Физические процессы горного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нефтегазового производства», «Металлургия», «Картография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«Геодезия и дистанционное зондирование», «Безопасность технологических процессов и производств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«Физические процессы горного производства», «Технология и комплексная механизация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подземной разработки месторождений полезных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защита окружающей среды», «Взрывное дело», «Прикладная геология», «Обогащение полезных ископаемых», «Технологическая безопасность и горноспасательное дело», «Нефтегазовое дело»;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«Управление безопасностью технологических проце</w:t>
      </w:r>
      <w:r>
        <w:rPr>
          <w:rFonts w:ascii="Times New Roman" w:hAnsi="Times New Roman" w:cs="Times New Roman"/>
          <w:sz w:val="28"/>
          <w:szCs w:val="28"/>
          <w:lang w:eastAsia="ru-RU"/>
        </w:rPr>
        <w:t>ссов и производств», «Деформационная обработка металлов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аддитивные технологии синтеза функциональных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горно-металлургических предприятий», «Инжиниринг литейных техноло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гий», «Новые материалы.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Порошковые и 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цветных металлов», «Инновационные технологии литейных процессов», «Инновационное производство стали», «Перспективные функциональные порошковые и аддитивные материалы и покрытия», «Боеприпасы и взрыватели» или иные специальности и направления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содержащиеся в ранее применяемых перечнях специальностей и направлений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венной гражданской службы или стажу работы по специальности, направлению подготовки не предъявляются.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К претенденту на замещение вакантных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государственного инспектора  отдела надзора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безопасностью 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горных работ, место   работы - г. Санкт-Петербург, предъявляются следующие требования: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2.2. Наличие высшего образования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направлениям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дготовки):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 «Горное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роизводства», «Металлургия», «Картография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«Геодезия и дистанционное зондирование», «Безопасность технологических процессов и производств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», «Физические процессы горного производства», «Технология и комплексная механизация подземной разраб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отки месторождений полезных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щей среды», «Взрывное дело», «Прикладная геология», «Обогащение полезных ископаемых», «Технологическая безопасность и горноспасательное дело», «Нефтегазовое дело»;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«Управление безопасностью технологических процессов и производс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тв», «Деформационная обработка металлов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и аддитивные техн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ологии синтеза функциональных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горно-металлургических предприятий», «Инжиниринг литейных технологий», «Новые мат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ериалы.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Порошковые и 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«Металловедение цветных мета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ллов», «Инновационные технологии литейных процессов», «Инновационное производство стали», «Перспективные функциональные порошковые и аддитивные материалы и покрытия», «Боеприпасы и взрыватели» или иные специальности и направления подготовки, содержащиеся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ранее применяемых перечнях специальностей и направлений подготовки, для которых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установлено соответствие указанным специальностям и направлениям подготовки.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службы или стажу работы по специальности, направлению подготовки не предъявляются.</w:t>
      </w:r>
    </w:p>
    <w:p w:rsidR="00D321E9" w:rsidRDefault="00CF6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должности государственной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службы  государственного инспектора отдела промышленной безопасности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по Новгородской области (надзор за безопасной эксплуатацией химически опасных производственных объектов), место работы – г. Великий Новгород, предъявляются следующие требован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ия: </w:t>
      </w:r>
    </w:p>
    <w:p w:rsidR="00D321E9" w:rsidRDefault="00CF69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служащий, замещающий должность государственного инспектора отдела  должен иметь высшее образование по направлени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-ям) подготовки (специальности(-ям) профессионального образования: 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«Фундаментальная и прикладная химия», «Химия», «Проек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тирование технологических машин и комплексов», «Технологические машины и оборудование», «Специальные системы жизнеобеспечения», «Холодильная, криогенная техника и системы жизнеобеспечения», «Боеприпасы и взрыватели», «Химическая технология 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материалов», «Химическая технология», «Государственное и муниципальное управление», «Юриспруденция», «Менеджмент», «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«Экология и природопользование», или иные специальности и направления подготовки, содержащиеся в ранее применяе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мых перечнях специальностей и направлений подготовки, для которых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тажу работы по специальности, направлению подготовки не предъявляются.</w:t>
      </w:r>
    </w:p>
    <w:p w:rsidR="00D321E9" w:rsidRDefault="00CF692E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государственной гражданской службы государственного инспектора отдела по государственному энергетическому надзору по Новгородской облас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ти (надзор за безопасной эксплуатацией гидротехнических сооружений), место работы – г. Великий Новгород, предъявляются следующие требования: </w:t>
      </w:r>
    </w:p>
    <w:p w:rsidR="00D321E9" w:rsidRDefault="00CF69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служащий, замещающий должность государственного инспектора о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тдела  должен иметь высшее образование по направлени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-ям) подготовки (специальности(-ям) профессионального образования: 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», «Техника и технологии строительства», «Электроэнергетика и электротехника», 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Природо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обустройство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«Градостроительство», «Строительство»,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опользование», «Горное дело», «Гидромелиорация», «Государственное и муниципальное управление», «Юриспруденция», «Менеджмент», «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 или иные специальности и направления подготовки, для которого законодательством об образовании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кой Федерации установлено соответствие направлению подготовки (специальности), содержащие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нным специальностям и направлениям подготовки.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D321E9" w:rsidRDefault="00CF69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государственной гражданской с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лужбы государственного инспектора (надзор за безопасной эксплуатацией  грузоподъемными сооружениями) отдела промышленной безопасности по Новгородской области, место работы - г. Великий Новгород, предъявляются следующие требования:</w:t>
      </w:r>
    </w:p>
    <w:p w:rsidR="00D321E9" w:rsidRDefault="00CF69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, замещающий должность государственного инспектора отдела  должен иметь высшее образование по направлени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-ям) подготовки (специальности(-ям) профессионального образования: 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«Теплоэнергетика и теплотехника», «Технологические машины и оборудование», «Энергет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и робототехника», «Машиностроение», «Технология транспортных 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или иные специальности и направления подготовки, содержащиеся в ранее применяемых п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еречнях специальностей и направлений подготовки, для которых законодательством об образовании Российской Федерации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соответствие указанным специальностям и направлениям подготовки.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стажу государственной гражданской службы или стажу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по специальности, направлению подготовки не предъявляются.</w:t>
      </w:r>
    </w:p>
    <w:p w:rsidR="00D321E9" w:rsidRDefault="00CF69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должности государственной гражданской службы государственный инспектор отдел по государственному энергетическому надзору по Мурманской области, место 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– г. Мурманск, предъявляются следующие требования:  </w:t>
      </w:r>
    </w:p>
    <w:p w:rsidR="00D321E9" w:rsidRDefault="00CF6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302BCD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служащий, замещающий должность государственного инспектора отдела  должен иметь высшее образование по направлени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>-ям) подготовки (специальности(-ям) профессионального образования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ика и технология строительства», «Строительство», «Техническая физика», «Нефтегазовое дело», «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>», «Химия», «Тепловые электрические станции», «Теплоснабжение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теплотехническое оборудование», «Электрические станции, сети и системы», «Релейная за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судовых энергетических установок», «Электрификация и автоматизация сельского хозяйства», «Энергетическое машиностроение», «Тепл</w:t>
      </w:r>
      <w:proofErr w:type="gram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технических систем и объектов», «Специальные электромеханические системы» «</w:t>
      </w:r>
      <w:proofErr w:type="spellStart"/>
      <w:r w:rsidR="00302BCD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302BCD">
        <w:rPr>
          <w:rFonts w:ascii="Times New Roman" w:hAnsi="Times New Roman" w:cs="Times New Roman"/>
          <w:sz w:val="28"/>
          <w:szCs w:val="28"/>
          <w:lang w:eastAsia="ru-RU"/>
        </w:rPr>
        <w:t>–надзорн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 или иные специальности и направления подгот</w:t>
      </w:r>
      <w:r w:rsidR="00302BCD">
        <w:rPr>
          <w:rFonts w:ascii="Times New Roman" w:hAnsi="Times New Roman" w:cs="Times New Roman"/>
          <w:sz w:val="28"/>
          <w:szCs w:val="28"/>
          <w:lang w:eastAsia="ru-RU"/>
        </w:rPr>
        <w:t>овки, содержащиеся в ранее применяемых перечнях специальностей и направлений подготовки.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D321E9" w:rsidRDefault="00D321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1E9" w:rsidRDefault="00302BC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II. Северо-Западное управление Федеральной службы по экологическому, технологическому и атомному надзору объявляет конкурс на формирование кадрового резерва: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Начальник отдела по надзору за безопасностью ведения горных работ по Мурманской области, место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аботы – г. Мурманск;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6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лицензирования и ведения государственного реестра ОПО, ме</w:t>
      </w:r>
      <w:r w:rsidR="00CF692E">
        <w:rPr>
          <w:rFonts w:ascii="Times New Roman" w:hAnsi="Times New Roman" w:cs="Times New Roman"/>
          <w:sz w:val="28"/>
          <w:szCs w:val="28"/>
          <w:lang w:eastAsia="ru-RU"/>
        </w:rPr>
        <w:t>сто работы – г. Санкт-Петербург;</w:t>
      </w:r>
    </w:p>
    <w:p w:rsidR="00CF692E" w:rsidRDefault="00CF69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692E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- эксперт </w:t>
      </w:r>
      <w:proofErr w:type="spellStart"/>
      <w:r w:rsidRPr="00CF692E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CF692E">
        <w:rPr>
          <w:rFonts w:ascii="Times New Roman" w:hAnsi="Times New Roman" w:cs="Times New Roman"/>
          <w:sz w:val="28"/>
          <w:szCs w:val="28"/>
          <w:lang w:eastAsia="ru-RU"/>
        </w:rPr>
        <w:t xml:space="preserve"> - документационного отдела, место работы - г. Санкт-Петербург;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вакантной должности государственной гражданской службы начальника  отдела по надзору за безопасно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стью ведения горных работ по Мурманской области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место работы – г. Мурманск, предъявляются следующие требования: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Наличие высшего образования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ностей и направлений подготовки):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«Техника и технологии строительства», «Электроэнергетика и электротехника»,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«Градостроительство», «Строительство», «Строительство 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 или иные специальности и направления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готовки, содержащиеся в ранее применяемых перечнях специальностей и направлений подготовки, для которых законодательством об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установлено соответствие указанным специальностям и направлениям подготовки.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Требования к 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жу государственной гражданской службы или стажу работы по специальности, направлению подготовки не предъявляются.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9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начальника  отдела лицензирования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реестра ОПО, место работы – г. Санкт-Петербург, предъявляются следующие требования: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</w:rPr>
      </w:pPr>
      <w:r w:rsidRPr="00CF69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высшего образования не ниже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специальностям, направлениям подготовки (укрупненным группам специальностей и направлений подг</w:t>
      </w:r>
      <w:r>
        <w:rPr>
          <w:rFonts w:ascii="Times New Roman" w:eastAsia="Times New Roman" w:hAnsi="Times New Roman" w:cs="Times New Roman"/>
          <w:sz w:val="28"/>
          <w:szCs w:val="28"/>
        </w:rPr>
        <w:t>отовки): «Государственное и муниципальное управление», «Управление персоналом»,  «Юриспруденция», «Менеджмент»</w:t>
      </w:r>
      <w:r>
        <w:rPr>
          <w:rStyle w:val="12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иные специальности и направления подготовки (специальности), содержащиеся в ранее применяемых перечнях специальностей и направлений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и, для которых законодательством об образовании Российской Федерации установлено соответствие указанным специальностям и направлениям подготовки, либо иному направлению подготовки (специальности), позволяющему исполнять должностные обязанности по замещающе</w:t>
      </w:r>
      <w:r>
        <w:rPr>
          <w:rFonts w:ascii="Times New Roman" w:eastAsia="Times New Roman" w:hAnsi="Times New Roman" w:cs="Times New Roman"/>
          <w:sz w:val="28"/>
          <w:szCs w:val="28"/>
        </w:rPr>
        <w:t>й должности.</w:t>
      </w:r>
    </w:p>
    <w:p w:rsidR="00D321E9" w:rsidRDefault="00302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Для замещения должности начальника отдела требования к стажу  государственной гражданской службы или стажу работы по специальности, направлению подготовки, необходимой для замещения должности  гражданской службы, не предъявляются.</w:t>
      </w:r>
    </w:p>
    <w:p w:rsidR="00CF692E" w:rsidRPr="00CF692E" w:rsidRDefault="00CF692E" w:rsidP="00CF69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2E">
        <w:rPr>
          <w:rFonts w:ascii="Times New Roman" w:eastAsia="Times New Roman" w:hAnsi="Times New Roman" w:cs="Times New Roman"/>
          <w:sz w:val="28"/>
          <w:szCs w:val="28"/>
        </w:rPr>
        <w:t xml:space="preserve">3. К претенденту на замещение вакантной должности государственной гражданской службы ведущий специалист - эксперт </w:t>
      </w:r>
      <w:proofErr w:type="spellStart"/>
      <w:r w:rsidRPr="00CF692E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CF692E">
        <w:rPr>
          <w:rFonts w:ascii="Times New Roman" w:eastAsia="Times New Roman" w:hAnsi="Times New Roman" w:cs="Times New Roman"/>
          <w:sz w:val="28"/>
          <w:szCs w:val="28"/>
        </w:rPr>
        <w:t xml:space="preserve"> - документационного отдела, место работы -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92E">
        <w:rPr>
          <w:rFonts w:ascii="Times New Roman" w:eastAsia="Times New Roman" w:hAnsi="Times New Roman" w:cs="Times New Roman"/>
          <w:sz w:val="28"/>
          <w:szCs w:val="28"/>
        </w:rPr>
        <w:t>Санкт-Петербург, предъявляются следующие требования:</w:t>
      </w:r>
    </w:p>
    <w:p w:rsidR="00CF692E" w:rsidRPr="00CF692E" w:rsidRDefault="00CF692E" w:rsidP="00CF69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2E">
        <w:rPr>
          <w:rFonts w:ascii="Times New Roman" w:eastAsia="Times New Roman" w:hAnsi="Times New Roman" w:cs="Times New Roman"/>
          <w:sz w:val="28"/>
          <w:szCs w:val="28"/>
        </w:rPr>
        <w:t>3.1. Для замещения должности ведущего специалиста-эксперта контрольно-документационного 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CF692E" w:rsidRPr="00CF692E" w:rsidRDefault="00CF692E" w:rsidP="00CF69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2E">
        <w:rPr>
          <w:rFonts w:ascii="Times New Roman" w:eastAsia="Times New Roman" w:hAnsi="Times New Roman" w:cs="Times New Roman"/>
          <w:sz w:val="28"/>
          <w:szCs w:val="28"/>
        </w:rPr>
        <w:t xml:space="preserve">3.2. Гражданский служащий, замещающий должность ведущего специалиста-эксперта контрольно-документационного отдела, должен иметь высшее образование не ниже уровня </w:t>
      </w:r>
      <w:proofErr w:type="spellStart"/>
      <w:r w:rsidRPr="00CF692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CF6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92E" w:rsidRPr="00CF692E" w:rsidRDefault="00CF692E" w:rsidP="00CF69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2E">
        <w:rPr>
          <w:rFonts w:ascii="Times New Roman" w:eastAsia="Times New Roman" w:hAnsi="Times New Roman" w:cs="Times New Roman"/>
          <w:sz w:val="28"/>
          <w:szCs w:val="28"/>
        </w:rPr>
        <w:t>3.3. Для замещения должности ведущего специалиста-эксперта контрольно-документационного отдела не установлено требований к стажу гражданской службы или работы по специальности, направлению подготовки.</w:t>
      </w:r>
    </w:p>
    <w:p w:rsidR="00CF692E" w:rsidRDefault="00CF692E" w:rsidP="00CF69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2E">
        <w:rPr>
          <w:rFonts w:ascii="Times New Roman" w:eastAsia="Times New Roman" w:hAnsi="Times New Roman" w:cs="Times New Roman"/>
          <w:sz w:val="28"/>
          <w:szCs w:val="28"/>
        </w:rPr>
        <w:t xml:space="preserve">3.4. Гражданский служащий, замещающий должность ведущего специалиста-эксперта контрольно-документационного отдела, должен иметь высшее образование не ниже уровня </w:t>
      </w:r>
      <w:proofErr w:type="spellStart"/>
      <w:r w:rsidRPr="00CF692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CF692E">
        <w:rPr>
          <w:rFonts w:ascii="Times New Roman" w:eastAsia="Times New Roman" w:hAnsi="Times New Roman" w:cs="Times New Roman"/>
          <w:sz w:val="28"/>
          <w:szCs w:val="28"/>
        </w:rPr>
        <w:t>, позволяющее осуществлять исполнение должностных обязанностей в соответствии с целями, задачами и функциями по замещаемой должности.</w:t>
      </w:r>
    </w:p>
    <w:p w:rsidR="00CF692E" w:rsidRDefault="00CF6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д</w:t>
      </w:r>
      <w:r>
        <w:rPr>
          <w:rFonts w:ascii="Times New Roman" w:hAnsi="Times New Roman" w:cs="Times New Roman"/>
          <w:sz w:val="28"/>
          <w:szCs w:val="28"/>
          <w:lang w:eastAsia="ru-RU"/>
        </w:rPr>
        <w:t>окументов осуществляется по адресам: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д. 3, г. Санкт-Петербург191028,  контактный телефон 8 (812) 490-06-58;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ул. Германа, д. 25, г. Великий Новгород, 173003, контактный телефон   (8162) 73-85-35;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пр. Кольский, д. 1, г. Мурманск, 183032, контак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тный телефон   (8152) 25-15-06, 25-15-42.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Начало приема документов для участия в конкурсе в 10.00 ч "11" июля 2024 г., окончание - в 17.00 ч "31" июля 2024 г.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оскресенье) и праздничных дней.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 следующие документы: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 личное заявление;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заполне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нную и подписанную анкету, форма которой утверждена распоряжением Правительства Российской Федерации от 26 мая 2005 г. № 667-р </w:t>
      </w:r>
      <w:r>
        <w:rPr>
          <w:rFonts w:ascii="Tahoma" w:eastAsia="Tahoma" w:hAnsi="Tahoma" w:cs="Tahoma"/>
          <w:sz w:val="18"/>
          <w:szCs w:val="18"/>
          <w:lang w:bidi="ru-RU"/>
        </w:rPr>
        <w:t>(В редакции Распоряжения Правительства Российской Федерации от 22.04.2022 № 986-р)</w:t>
      </w:r>
      <w:proofErr w:type="gramStart"/>
      <w:r>
        <w:rPr>
          <w:rFonts w:ascii="Tahoma" w:eastAsia="Tahoma" w:hAnsi="Tahoma" w:cs="Tahoma"/>
          <w:sz w:val="18"/>
          <w:szCs w:val="1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 приложением фотографии);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копию паспорта или заменяющего его документа (соответствующий документ предъявляется лично по прибытии на конкурс), 2 экземпляра;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(службы), 2 экземпляра;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копию трудовой книжки (за исключением случаев, когда служебная (труд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копии документов об образовании и о квалификации,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ученого звания, заверенные нотариально или кадровой службой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месту работы (службы);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 страховое свидетельство обязательного пенсионного страхования, за исключением 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>в, когда служебная (трудовая) деятельность осуществляется впервые;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свидетельство о постановке физического лица в налоговом органе по месту жительства на территории Российской Федерации;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документы воинского учета - для военнообязанных и лиц, подл</w:t>
      </w:r>
      <w:r>
        <w:rPr>
          <w:rFonts w:ascii="Times New Roman" w:hAnsi="Times New Roman" w:cs="Times New Roman"/>
          <w:sz w:val="28"/>
          <w:szCs w:val="28"/>
          <w:lang w:eastAsia="ru-RU"/>
        </w:rPr>
        <w:t>ежащих призыву на военную службу;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1.11. сведения о доходах, расходах, имуществе и обязательствах имущественного характера претендента и членов его семьи (версия 2.5.5. от 31.01.2024);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1.12. сведения об адресах сайтов и (или) страниц сайтов в информационно-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службы, размещались общедоступная информация, а также данные, позволяющие его идентифицировать;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 справка об отсутствии судимости;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 копия свидетельства о браке;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1.15. копия свидетельства о расторжении брака;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1.16. копия свидетельства о рождении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детей;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1.17. фото 3*4, 4 шт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цветные)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анкету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утвержденную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распоряжение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Правительства Российской Федерации от 26 мая 2005 г. № 667-р, с фотографией.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могут пройти предварительный квалиф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икационный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</w:t>
      </w:r>
      <w:r>
        <w:rPr>
          <w:rFonts w:ascii="Times New Roman" w:hAnsi="Times New Roman" w:cs="Times New Roman"/>
          <w:sz w:val="28"/>
          <w:szCs w:val="28"/>
          <w:lang w:eastAsia="ru-RU"/>
        </w:rPr>
        <w:t>uzhba.gov.ru в разделе «Образование» // «Тесты для самопроверки»).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Конкурс на замещение вакантной должности федеральной государственной гражданской службы в Северо-Западном управлении Федеральной службе по экологическому,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квалификационным требованиям к вакантной должности гражданской службы.</w:t>
      </w:r>
      <w:proofErr w:type="gramEnd"/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</w:t>
      </w:r>
      <w:r>
        <w:rPr>
          <w:rFonts w:ascii="Times New Roman" w:hAnsi="Times New Roman" w:cs="Times New Roman"/>
          <w:sz w:val="28"/>
          <w:szCs w:val="28"/>
          <w:lang w:eastAsia="ru-RU"/>
        </w:rPr>
        <w:t>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Северо-Западного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представителем нанимателя после проверки достоверности сведений, представленных претендентами на замещение вакантной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должности гражданской службы, а также после оформления в случае необходимости допуска к сведениям, составляющим государственную и иную о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храняемую законом тайну.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в письменной форме о причинах отказа в участии в конкурсе.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 по вопросам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конкурса применение всех указанных мероприятий не является обязательным. Необходимость,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очередность их применения определяется конкурсной комиссией.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азначения его на соответствующую вакантную должность гражданской службы либо отказа в назначении.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конкурса кандидаты, выдержавшие условия второго этапа конкурса, но не признанные победителями, могут быть по решению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конкурсной комиссии рекоме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ндованы к зачислению в кадровый резерв Северо-Западного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D321E9" w:rsidRDefault="00302B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p w:rsidR="00D321E9" w:rsidRDefault="00D321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1E9" w:rsidRDefault="00D3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21E9">
      <w:pgSz w:w="11906" w:h="16838"/>
      <w:pgMar w:top="567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CD" w:rsidRDefault="00302BCD">
      <w:pPr>
        <w:spacing w:after="0" w:line="240" w:lineRule="auto"/>
      </w:pPr>
      <w:r>
        <w:separator/>
      </w:r>
    </w:p>
  </w:endnote>
  <w:endnote w:type="continuationSeparator" w:id="0">
    <w:p w:rsidR="00302BCD" w:rsidRDefault="0030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CD" w:rsidRDefault="00302BCD">
      <w:pPr>
        <w:spacing w:after="0" w:line="240" w:lineRule="auto"/>
      </w:pPr>
      <w:r>
        <w:separator/>
      </w:r>
    </w:p>
  </w:footnote>
  <w:footnote w:type="continuationSeparator" w:id="0">
    <w:p w:rsidR="00302BCD" w:rsidRDefault="0030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D1E"/>
    <w:multiLevelType w:val="multilevel"/>
    <w:tmpl w:val="2B20BF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0D55"/>
    <w:multiLevelType w:val="multilevel"/>
    <w:tmpl w:val="5D284020"/>
    <w:lvl w:ilvl="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BB609F0"/>
    <w:multiLevelType w:val="multilevel"/>
    <w:tmpl w:val="BB4CC2B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FAC6AC0"/>
    <w:multiLevelType w:val="multilevel"/>
    <w:tmpl w:val="238C05D0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505"/>
    <w:multiLevelType w:val="multilevel"/>
    <w:tmpl w:val="0C101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3B31"/>
    <w:multiLevelType w:val="multilevel"/>
    <w:tmpl w:val="188643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43749"/>
    <w:multiLevelType w:val="multilevel"/>
    <w:tmpl w:val="44DC38E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0654AA"/>
    <w:multiLevelType w:val="multilevel"/>
    <w:tmpl w:val="8DC41B96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02DD7"/>
    <w:multiLevelType w:val="multilevel"/>
    <w:tmpl w:val="BC3018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635" w:hanging="55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16C46"/>
    <w:multiLevelType w:val="multilevel"/>
    <w:tmpl w:val="1214D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661BA"/>
    <w:multiLevelType w:val="multilevel"/>
    <w:tmpl w:val="CEB48236"/>
    <w:lvl w:ilvl="0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CD727C"/>
    <w:multiLevelType w:val="multilevel"/>
    <w:tmpl w:val="80E2CE4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3FF79E7"/>
    <w:multiLevelType w:val="multilevel"/>
    <w:tmpl w:val="A5A8892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35350106"/>
    <w:multiLevelType w:val="multilevel"/>
    <w:tmpl w:val="BF2EEBF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358A35DB"/>
    <w:multiLevelType w:val="multilevel"/>
    <w:tmpl w:val="B526DF88"/>
    <w:lvl w:ilvl="0">
      <w:start w:val="1"/>
      <w:numFmt w:val="decimal"/>
      <w:lvlText w:val="%1)"/>
      <w:lvlJc w:val="left"/>
      <w:pPr>
        <w:ind w:left="1707" w:hanging="11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C20903"/>
    <w:multiLevelType w:val="multilevel"/>
    <w:tmpl w:val="E9028F4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3F044087"/>
    <w:multiLevelType w:val="multilevel"/>
    <w:tmpl w:val="7B84FDA2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95FDE"/>
    <w:multiLevelType w:val="multilevel"/>
    <w:tmpl w:val="014048F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8B7526A"/>
    <w:multiLevelType w:val="multilevel"/>
    <w:tmpl w:val="DFB8250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A171EFC"/>
    <w:multiLevelType w:val="multilevel"/>
    <w:tmpl w:val="A6C678D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4ACF253D"/>
    <w:multiLevelType w:val="multilevel"/>
    <w:tmpl w:val="B274B7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52067800"/>
    <w:multiLevelType w:val="multilevel"/>
    <w:tmpl w:val="E3280E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2">
    <w:nsid w:val="52455A21"/>
    <w:multiLevelType w:val="multilevel"/>
    <w:tmpl w:val="E29276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74168"/>
    <w:multiLevelType w:val="multilevel"/>
    <w:tmpl w:val="D6E46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0279F"/>
    <w:multiLevelType w:val="multilevel"/>
    <w:tmpl w:val="830611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5">
    <w:nsid w:val="5B312814"/>
    <w:multiLevelType w:val="multilevel"/>
    <w:tmpl w:val="747EAACE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E667F"/>
    <w:multiLevelType w:val="multilevel"/>
    <w:tmpl w:val="D5E65A7E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039E3"/>
    <w:multiLevelType w:val="multilevel"/>
    <w:tmpl w:val="1774057C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6A0A50B0"/>
    <w:multiLevelType w:val="multilevel"/>
    <w:tmpl w:val="7764CCF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09257AE"/>
    <w:multiLevelType w:val="multilevel"/>
    <w:tmpl w:val="E14806E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4386A01"/>
    <w:multiLevelType w:val="multilevel"/>
    <w:tmpl w:val="FF96C15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5F508B4"/>
    <w:multiLevelType w:val="multilevel"/>
    <w:tmpl w:val="04521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74DCE"/>
    <w:multiLevelType w:val="multilevel"/>
    <w:tmpl w:val="56B6F5DA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26"/>
  </w:num>
  <w:num w:numId="5">
    <w:abstractNumId w:val="18"/>
  </w:num>
  <w:num w:numId="6">
    <w:abstractNumId w:val="7"/>
  </w:num>
  <w:num w:numId="7">
    <w:abstractNumId w:val="29"/>
  </w:num>
  <w:num w:numId="8">
    <w:abstractNumId w:val="10"/>
  </w:num>
  <w:num w:numId="9">
    <w:abstractNumId w:val="24"/>
  </w:num>
  <w:num w:numId="10">
    <w:abstractNumId w:val="25"/>
  </w:num>
  <w:num w:numId="11">
    <w:abstractNumId w:val="3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28"/>
  </w:num>
  <w:num w:numId="16">
    <w:abstractNumId w:val="1"/>
  </w:num>
  <w:num w:numId="17">
    <w:abstractNumId w:val="14"/>
  </w:num>
  <w:num w:numId="18">
    <w:abstractNumId w:val="2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2"/>
  </w:num>
  <w:num w:numId="27">
    <w:abstractNumId w:val="20"/>
  </w:num>
  <w:num w:numId="28">
    <w:abstractNumId w:val="9"/>
  </w:num>
  <w:num w:numId="29">
    <w:abstractNumId w:val="4"/>
  </w:num>
  <w:num w:numId="30">
    <w:abstractNumId w:val="19"/>
  </w:num>
  <w:num w:numId="31">
    <w:abstractNumId w:val="11"/>
  </w:num>
  <w:num w:numId="32">
    <w:abstractNumId w:val="2"/>
  </w:num>
  <w:num w:numId="33">
    <w:abstractNumId w:val="15"/>
  </w:num>
  <w:num w:numId="34">
    <w:abstractNumId w:val="12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E9"/>
    <w:rsid w:val="00302BCD"/>
    <w:rsid w:val="00CF692E"/>
    <w:rsid w:val="00D3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FF01-4915-4321-B868-C2F3AFE2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3972</Words>
  <Characters>22643</Characters>
  <Application>Microsoft Office Word</Application>
  <DocSecurity>0</DocSecurity>
  <Lines>188</Lines>
  <Paragraphs>53</Paragraphs>
  <ScaleCrop>false</ScaleCrop>
  <Company>diakov.net</Company>
  <LinksUpToDate>false</LinksUpToDate>
  <CharactersWithSpaces>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Михайлова Алла Борисовна</cp:lastModifiedBy>
  <cp:revision>6</cp:revision>
  <dcterms:created xsi:type="dcterms:W3CDTF">2024-02-27T14:13:00Z</dcterms:created>
  <dcterms:modified xsi:type="dcterms:W3CDTF">2024-08-14T11:55:00Z</dcterms:modified>
</cp:coreProperties>
</file>